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D9A" w14:textId="371EEF34" w:rsidR="003808AA" w:rsidRPr="004C4393" w:rsidRDefault="003808AA" w:rsidP="0075795A">
      <w:pPr>
        <w:pStyle w:val="Nagwek1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Opis techniczny zbiornika </w:t>
      </w:r>
      <w:r w:rsidR="005D27AA">
        <w:rPr>
          <w:rFonts w:ascii="Arial" w:hAnsi="Arial" w:cs="Arial"/>
          <w:sz w:val="20"/>
          <w:szCs w:val="20"/>
        </w:rPr>
        <w:t>MZRT</w:t>
      </w:r>
      <w:r w:rsidRPr="004C4393">
        <w:rPr>
          <w:rFonts w:ascii="Arial" w:hAnsi="Arial" w:cs="Arial"/>
          <w:sz w:val="20"/>
          <w:szCs w:val="20"/>
        </w:rPr>
        <w:t xml:space="preserve"> </w:t>
      </w:r>
    </w:p>
    <w:p w14:paraId="388C8B3F" w14:textId="4ED95712" w:rsidR="000443F8" w:rsidRPr="000443F8" w:rsidRDefault="003808AA" w:rsidP="000443F8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>Opis rozwiązania konstrukcyjnego, charakterystyka materiałowa i informacj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dotycząc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projektowanych właściwości użytkowych zbiornika</w:t>
      </w:r>
    </w:p>
    <w:p w14:paraId="65C844C4" w14:textId="77777777" w:rsidR="000443F8" w:rsidRDefault="000443F8" w:rsidP="000443F8">
      <w:pPr>
        <w:pStyle w:val="Akapitzlist"/>
        <w:spacing w:after="0" w:line="240" w:lineRule="auto"/>
        <w:ind w:left="0" w:firstLine="360"/>
        <w:jc w:val="both"/>
        <w:rPr>
          <w:sz w:val="20"/>
          <w:szCs w:val="20"/>
        </w:rPr>
      </w:pPr>
    </w:p>
    <w:p w14:paraId="7C9F646E" w14:textId="0469B16D" w:rsidR="000443F8" w:rsidRDefault="000443F8" w:rsidP="000443F8">
      <w:pPr>
        <w:pStyle w:val="Akapitzlist"/>
        <w:spacing w:after="0" w:line="23" w:lineRule="atLeast"/>
        <w:ind w:left="0" w:firstLine="357"/>
        <w:jc w:val="both"/>
        <w:rPr>
          <w:sz w:val="20"/>
          <w:szCs w:val="20"/>
        </w:rPr>
      </w:pPr>
      <w:r w:rsidRPr="000443F8">
        <w:rPr>
          <w:sz w:val="20"/>
          <w:szCs w:val="20"/>
        </w:rPr>
        <w:t xml:space="preserve">Modułowy zbiornik żelbetowy MZRT tworzą dwa </w:t>
      </w:r>
      <w:r>
        <w:rPr>
          <w:sz w:val="20"/>
          <w:szCs w:val="20"/>
        </w:rPr>
        <w:t>segmenty</w:t>
      </w:r>
      <w:r w:rsidRPr="000443F8">
        <w:rPr>
          <w:sz w:val="20"/>
          <w:szCs w:val="20"/>
        </w:rPr>
        <w:t xml:space="preserve"> żelbetowe: DM1</w:t>
      </w:r>
      <w:r>
        <w:rPr>
          <w:sz w:val="20"/>
          <w:szCs w:val="20"/>
        </w:rPr>
        <w:t xml:space="preserve"> i</w:t>
      </w:r>
      <w:r w:rsidRPr="000443F8">
        <w:rPr>
          <w:sz w:val="20"/>
          <w:szCs w:val="20"/>
        </w:rPr>
        <w:t xml:space="preserve"> DM3</w:t>
      </w:r>
      <w:r>
        <w:rPr>
          <w:sz w:val="20"/>
          <w:szCs w:val="20"/>
        </w:rPr>
        <w:t xml:space="preserve"> </w:t>
      </w:r>
      <w:r w:rsidRPr="000443F8">
        <w:rPr>
          <w:sz w:val="20"/>
          <w:szCs w:val="20"/>
        </w:rPr>
        <w:t>prefabrykowane elementy składające się z 3 ścian pionowych zewnętrznych, płyty dennej, płyty stropowej i ściany podpierającej</w:t>
      </w:r>
      <w:r>
        <w:rPr>
          <w:sz w:val="20"/>
          <w:szCs w:val="20"/>
        </w:rPr>
        <w:t>.</w:t>
      </w:r>
    </w:p>
    <w:p w14:paraId="6EA8D7F8" w14:textId="3A5489AE" w:rsidR="0075795A" w:rsidRPr="004C4393" w:rsidRDefault="00437D87" w:rsidP="000443F8">
      <w:pPr>
        <w:spacing w:after="0" w:line="23" w:lineRule="atLeast"/>
        <w:ind w:firstLine="357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3808AA" w:rsidRPr="004C4393">
        <w:rPr>
          <w:sz w:val="20"/>
          <w:szCs w:val="20"/>
        </w:rPr>
        <w:t>ozwiązanie to jest optymalne ze względu na koszty transportu</w:t>
      </w:r>
      <w:r>
        <w:rPr>
          <w:sz w:val="20"/>
          <w:szCs w:val="20"/>
        </w:rPr>
        <w:t xml:space="preserve"> - </w:t>
      </w:r>
      <w:r w:rsidR="003808AA" w:rsidRPr="004C4393">
        <w:rPr>
          <w:sz w:val="20"/>
          <w:szCs w:val="20"/>
        </w:rPr>
        <w:t>nie ma potrzeby osobnego transportowania elementów dennych, pokryw i podpór. Wymiary elementu są dostos</w:t>
      </w:r>
      <w:r w:rsidR="00186F20">
        <w:rPr>
          <w:sz w:val="20"/>
          <w:szCs w:val="20"/>
        </w:rPr>
        <w:t>o</w:t>
      </w:r>
      <w:r w:rsidR="003808AA" w:rsidRPr="004C4393">
        <w:rPr>
          <w:sz w:val="20"/>
          <w:szCs w:val="20"/>
        </w:rPr>
        <w:t xml:space="preserve">wane do wymagań normatywnych dotyczących transportu drogowego. Dodatkowo monolityczna konstrukcja gwarantuje uzyskanie wieloletniej trwałości. Zminimalizowana ilości połączeń przegród redukuje ryzyko utraty szczelności w czasie użytkowania i przekłada się również na skrócony czas montażu. </w:t>
      </w:r>
    </w:p>
    <w:p w14:paraId="2346F5E8" w14:textId="77777777" w:rsidR="00FC61E1" w:rsidRDefault="00FC61E1" w:rsidP="003808AA">
      <w:pPr>
        <w:spacing w:after="0"/>
        <w:rPr>
          <w:b/>
          <w:sz w:val="20"/>
          <w:szCs w:val="20"/>
        </w:rPr>
      </w:pPr>
    </w:p>
    <w:p w14:paraId="220E0991" w14:textId="4EA822AC" w:rsidR="003808AA" w:rsidRPr="004C4393" w:rsidRDefault="003808AA" w:rsidP="003808AA">
      <w:pPr>
        <w:spacing w:after="0"/>
        <w:rPr>
          <w:b/>
          <w:sz w:val="20"/>
          <w:szCs w:val="20"/>
        </w:rPr>
      </w:pPr>
      <w:r w:rsidRPr="004C4393">
        <w:rPr>
          <w:b/>
          <w:sz w:val="20"/>
          <w:szCs w:val="20"/>
        </w:rPr>
        <w:t>Tabela 1 Parametry techniczne zbiornika</w:t>
      </w:r>
    </w:p>
    <w:tbl>
      <w:tblPr>
        <w:tblStyle w:val="Tabela-Siatka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FC61E1" w:rsidRPr="004C4393" w14:paraId="1A6D8E18" w14:textId="77777777" w:rsidTr="00A908D1">
        <w:tc>
          <w:tcPr>
            <w:tcW w:w="4530" w:type="dxa"/>
          </w:tcPr>
          <w:p w14:paraId="11BAC09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Parametry trwałościowe:</w:t>
            </w:r>
          </w:p>
        </w:tc>
        <w:tc>
          <w:tcPr>
            <w:tcW w:w="4537" w:type="dxa"/>
          </w:tcPr>
          <w:p w14:paraId="447AFCE1" w14:textId="77777777" w:rsidR="00FC61E1" w:rsidRPr="004C4393" w:rsidRDefault="00FC61E1" w:rsidP="00FC61E1">
            <w:pPr>
              <w:spacing w:after="0"/>
            </w:pPr>
            <w:r w:rsidRPr="004C4393">
              <w:t xml:space="preserve">Wytrzymałość na ściskanie: klasa co najmniej C45/55 </w:t>
            </w:r>
            <w:r w:rsidRPr="004C4393">
              <w:br/>
              <w:t>- Wskaźnik w/c: ≤ 0,45</w:t>
            </w:r>
          </w:p>
          <w:p w14:paraId="3D441B08" w14:textId="77777777" w:rsidR="00FC61E1" w:rsidRPr="004C4393" w:rsidRDefault="00FC61E1" w:rsidP="00FC61E1">
            <w:pPr>
              <w:spacing w:after="0"/>
            </w:pPr>
            <w:r w:rsidRPr="004C4393">
              <w:t>- Klasa zawartości chlorków: Cl 0,2</w:t>
            </w:r>
          </w:p>
          <w:p w14:paraId="78CDCCD5" w14:textId="77777777" w:rsidR="00FC61E1" w:rsidRPr="004C4393" w:rsidRDefault="00FC61E1" w:rsidP="00FC61E1">
            <w:pPr>
              <w:spacing w:after="0"/>
            </w:pPr>
            <w:r w:rsidRPr="004C4393">
              <w:t>- Stopień wodoszczelności: W12</w:t>
            </w:r>
          </w:p>
          <w:p w14:paraId="0A37F9CC" w14:textId="77777777" w:rsidR="00FC61E1" w:rsidRPr="004C4393" w:rsidRDefault="00FC61E1" w:rsidP="00FC61E1">
            <w:pPr>
              <w:spacing w:after="0"/>
            </w:pPr>
            <w:r w:rsidRPr="004C4393">
              <w:t>- Stopień mrozoodporności w wodzie: F150</w:t>
            </w:r>
          </w:p>
          <w:p w14:paraId="2076C8AD" w14:textId="77777777" w:rsidR="00FC61E1" w:rsidRPr="004C4393" w:rsidRDefault="00FC61E1" w:rsidP="00FC61E1">
            <w:pPr>
              <w:spacing w:after="0"/>
            </w:pPr>
            <w:r w:rsidRPr="004C4393">
              <w:t xml:space="preserve">- Nasiąkliwość: ≤ 5% </w:t>
            </w:r>
          </w:p>
          <w:p w14:paraId="39C58E40" w14:textId="77777777" w:rsidR="00FC61E1" w:rsidRDefault="00FC61E1" w:rsidP="00FC61E1">
            <w:pPr>
              <w:spacing w:after="0"/>
            </w:pPr>
            <w:r w:rsidRPr="004C4393">
              <w:t xml:space="preserve">- Klasy ekspozycji wg PN-EN 206+A1:2016-12 + PN-B-06265:2018-10: XC4, XS3, XD3, XF4, XA1 </w:t>
            </w:r>
            <w:r w:rsidR="00E74056">
              <w:t>(możliwość wykonania w klasie XA3)</w:t>
            </w:r>
          </w:p>
          <w:p w14:paraId="07FD45DB" w14:textId="51AC3D16" w:rsidR="000443F8" w:rsidRPr="004C4393" w:rsidRDefault="000443F8" w:rsidP="00FC61E1">
            <w:pPr>
              <w:spacing w:after="0"/>
            </w:pPr>
            <w:r>
              <w:t xml:space="preserve">- Klasa szczelności: </w:t>
            </w:r>
            <w:r w:rsidRPr="002B2984">
              <w:t>elementy zaprojektowano w klasie szczelności 1 wg PN-EN 1992-3</w:t>
            </w:r>
          </w:p>
        </w:tc>
      </w:tr>
    </w:tbl>
    <w:p w14:paraId="12594B01" w14:textId="2D6028A5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Przeznaczenie zbiornika </w:t>
      </w:r>
    </w:p>
    <w:p w14:paraId="069F232F" w14:textId="5832B605" w:rsidR="0075795A" w:rsidRDefault="0075795A" w:rsidP="0075795A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Modułowe zbiorniki żelbetowe </w:t>
      </w:r>
      <w:r w:rsidR="000443F8">
        <w:rPr>
          <w:sz w:val="20"/>
          <w:szCs w:val="20"/>
        </w:rPr>
        <w:t>MZRT</w:t>
      </w:r>
      <w:r w:rsidRPr="004C4393">
        <w:rPr>
          <w:sz w:val="20"/>
          <w:szCs w:val="20"/>
        </w:rPr>
        <w:t xml:space="preserve"> są przeznaczone do okresowego magazynowania lub retencji wód opadowych, jak również, dzięki wysokiej odporności stosowanego betonu, mogą być wykorzystywane do magazynowania lub retencji ścieków sanitarnych (bytowo-gospodarczych, komunalnych</w:t>
      </w:r>
      <w:r>
        <w:rPr>
          <w:sz w:val="20"/>
          <w:szCs w:val="20"/>
        </w:rPr>
        <w:t xml:space="preserve">) </w:t>
      </w:r>
      <w:r w:rsidRPr="004C4393">
        <w:rPr>
          <w:sz w:val="20"/>
          <w:szCs w:val="20"/>
        </w:rPr>
        <w:t xml:space="preserve">ścieków pochodzenia rolniczego lub wody technologicznej, przeciwpożarowej i innych mediów, których zakres jest bardzo szeroki. </w:t>
      </w:r>
    </w:p>
    <w:p w14:paraId="4ABBED2C" w14:textId="514577A9" w:rsidR="0075795A" w:rsidRPr="004C4393" w:rsidRDefault="0075795A" w:rsidP="0075795A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Zbiorniki </w:t>
      </w:r>
      <w:r w:rsidR="000443F8">
        <w:rPr>
          <w:sz w:val="20"/>
          <w:szCs w:val="20"/>
        </w:rPr>
        <w:t>MZRT</w:t>
      </w:r>
      <w:r w:rsidRPr="004C4393">
        <w:rPr>
          <w:sz w:val="20"/>
          <w:szCs w:val="20"/>
        </w:rPr>
        <w:t xml:space="preserve"> mogą być również stosowane jako komory inspekcyjne, przepływowe, połączeniowe, komory armatury, tłoczni, obudowy urządzeń technologicznych sieci kanalizacyjnych, jako separatory, pompownie lub zbiorniki będące elementami oczyszczalni ścieków. </w:t>
      </w:r>
    </w:p>
    <w:p w14:paraId="367A7C84" w14:textId="746D6E7F" w:rsidR="0075795A" w:rsidRPr="0075795A" w:rsidRDefault="0075795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wyjściowe</w:t>
      </w:r>
    </w:p>
    <w:p w14:paraId="5659591D" w14:textId="1E87F177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Pojemność całkowita zbiornika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>V=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  <w:highlight w:val="yellow"/>
        </w:rPr>
        <w:t>…</w:t>
      </w:r>
      <w:r w:rsidRPr="0075795A">
        <w:rPr>
          <w:sz w:val="20"/>
          <w:szCs w:val="20"/>
        </w:rPr>
        <w:t xml:space="preserve"> m</w:t>
      </w:r>
      <w:r w:rsidRPr="0075795A">
        <w:rPr>
          <w:sz w:val="20"/>
          <w:szCs w:val="20"/>
          <w:vertAlign w:val="superscript"/>
        </w:rPr>
        <w:t>3</w:t>
      </w:r>
    </w:p>
    <w:p w14:paraId="3CBC80B5" w14:textId="3471FE74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Wymiary wew. zbiornika: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 w:rsidRPr="0075795A">
        <w:rPr>
          <w:sz w:val="20"/>
          <w:szCs w:val="20"/>
        </w:rPr>
        <w:t xml:space="preserve"> m x</w:t>
      </w:r>
      <w:r w:rsidR="007B0ECB">
        <w:rPr>
          <w:sz w:val="20"/>
          <w:szCs w:val="20"/>
        </w:rPr>
        <w:t xml:space="preserve"> 6,8</w:t>
      </w:r>
      <w:r w:rsidRPr="0075795A">
        <w:rPr>
          <w:sz w:val="20"/>
          <w:szCs w:val="20"/>
        </w:rPr>
        <w:t xml:space="preserve"> m x </w:t>
      </w:r>
      <w:r w:rsidR="007B0ECB">
        <w:rPr>
          <w:sz w:val="20"/>
          <w:szCs w:val="20"/>
        </w:rPr>
        <w:t>2,2</w:t>
      </w:r>
      <w:r w:rsidRPr="0075795A">
        <w:rPr>
          <w:sz w:val="20"/>
          <w:szCs w:val="20"/>
        </w:rPr>
        <w:t>m (dł. x szer. x wys.)</w:t>
      </w:r>
    </w:p>
    <w:p w14:paraId="26A26B0F" w14:textId="2CC54E0A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Rzędna dna zbiornika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m n.p.m. </w:t>
      </w:r>
    </w:p>
    <w:p w14:paraId="3FF1E6FB" w14:textId="3E7BE1A4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Rzędna terenu nad zbiornikiem: </w:t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 m n.p.m.</w:t>
      </w:r>
    </w:p>
    <w:p w14:paraId="3E36FE6E" w14:textId="2A91F389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Grunt zasypowy: grunt niespoisty o ciężarze objętościowym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>17,5 kN/m</w:t>
      </w:r>
      <w:r w:rsidRPr="0075795A">
        <w:rPr>
          <w:sz w:val="20"/>
          <w:szCs w:val="20"/>
          <w:vertAlign w:val="superscript"/>
        </w:rPr>
        <w:t xml:space="preserve">3 </w:t>
      </w:r>
    </w:p>
    <w:p w14:paraId="17E20EAA" w14:textId="3C389F8B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Nad zbiornikiem dopuszczony ruch pojazdów o max nacisku</w:t>
      </w:r>
      <w:r>
        <w:rPr>
          <w:sz w:val="20"/>
          <w:szCs w:val="20"/>
        </w:rPr>
        <w:t>:</w:t>
      </w:r>
      <w:r w:rsidRPr="0075795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>115 kN/oś</w:t>
      </w:r>
    </w:p>
    <w:p w14:paraId="3CCE2084" w14:textId="39FE77AB" w:rsidR="003808AA" w:rsidRPr="004C4393" w:rsidRDefault="003808A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lastRenderedPageBreak/>
        <w:t>Wyposażenie zbiornika retencyjnego</w:t>
      </w:r>
    </w:p>
    <w:p w14:paraId="57E7F258" w14:textId="3A36A4D3" w:rsidR="00E74056" w:rsidRDefault="003808AA" w:rsidP="00E74056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Zbiorniki </w:t>
      </w:r>
      <w:r w:rsidR="00056C34">
        <w:rPr>
          <w:sz w:val="20"/>
          <w:szCs w:val="20"/>
        </w:rPr>
        <w:t>MZRT</w:t>
      </w:r>
      <w:r w:rsidRPr="004C4393">
        <w:rPr>
          <w:sz w:val="20"/>
          <w:szCs w:val="20"/>
        </w:rPr>
        <w:t xml:space="preserve"> wyposażane są w kominy złazowe o średnicy wewnętrznej </w:t>
      </w:r>
      <w:r w:rsidR="00202FCD" w:rsidRPr="004C4393">
        <w:rPr>
          <w:sz w:val="20"/>
          <w:szCs w:val="20"/>
        </w:rPr>
        <w:br/>
      </w:r>
      <w:r w:rsidRPr="0075795A">
        <w:rPr>
          <w:sz w:val="20"/>
          <w:szCs w:val="20"/>
          <w:highlight w:val="yellow"/>
        </w:rPr>
        <w:t>1000 mm</w:t>
      </w:r>
      <w:r w:rsidRPr="004C4393">
        <w:rPr>
          <w:sz w:val="20"/>
          <w:szCs w:val="20"/>
        </w:rPr>
        <w:t xml:space="preserve">, umożliwiają inspekcję zbiornika jak i elementów jego wyposażenia. Komin złazowy zwieńczony jest pokrywą żelbetową przystosowaną do obciążenia ruchem kołowym, </w:t>
      </w:r>
      <w:r w:rsidR="00202FCD" w:rsidRPr="004C4393">
        <w:rPr>
          <w:sz w:val="20"/>
          <w:szCs w:val="20"/>
        </w:rPr>
        <w:br/>
      </w:r>
      <w:r w:rsidRPr="004C4393">
        <w:rPr>
          <w:sz w:val="20"/>
          <w:szCs w:val="20"/>
        </w:rPr>
        <w:t xml:space="preserve">na pokrywie montowane są włazy żeliwne klasy D400 zgodne z PN-EN 124-2:2015 o średnicy </w:t>
      </w:r>
      <w:r w:rsidRPr="0075795A">
        <w:rPr>
          <w:sz w:val="20"/>
          <w:szCs w:val="20"/>
          <w:highlight w:val="yellow"/>
        </w:rPr>
        <w:t>600 mm</w:t>
      </w:r>
      <w:r w:rsidRPr="004C4393">
        <w:rPr>
          <w:sz w:val="20"/>
          <w:szCs w:val="20"/>
        </w:rPr>
        <w:t xml:space="preserve">. Zejście na dno zbiornika umożliwiają stopnie złazowe powlekane. </w:t>
      </w:r>
    </w:p>
    <w:p w14:paraId="00799B04" w14:textId="2ABEC4EC" w:rsidR="00E74056" w:rsidRPr="004C4393" w:rsidRDefault="00E74056" w:rsidP="00E74056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Wyposażenie zbiornika PPOŻ obejmuje dodatkowo zawór pływakowy, przewód ssawny z koszem ssawnym, zaworem zwrotnym, nasadą strażacką i pokrywą nasady, płytę </w:t>
      </w:r>
      <w:r w:rsidR="007B0ECB">
        <w:rPr>
          <w:sz w:val="20"/>
          <w:szCs w:val="20"/>
        </w:rPr>
        <w:t>antywirową</w:t>
      </w:r>
      <w:r>
        <w:rPr>
          <w:sz w:val="20"/>
          <w:szCs w:val="20"/>
        </w:rPr>
        <w:t>, kominek wentylacyjny oraz znak fotoluminescencyjny zgodny z normą PN-N-02857.</w:t>
      </w:r>
    </w:p>
    <w:p w14:paraId="73BDA5BC" w14:textId="24DC55AB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Połączenie między elementami prefabrykowanymi</w:t>
      </w:r>
    </w:p>
    <w:p w14:paraId="74BDCB71" w14:textId="42AD7F8C" w:rsidR="0075795A" w:rsidRPr="0075795A" w:rsidRDefault="0075795A" w:rsidP="0075795A">
      <w:pPr>
        <w:jc w:val="both"/>
        <w:rPr>
          <w:color w:val="000000" w:themeColor="text1"/>
          <w:sz w:val="20"/>
          <w:szCs w:val="20"/>
        </w:rPr>
      </w:pPr>
      <w:r w:rsidRPr="0075795A">
        <w:rPr>
          <w:color w:val="000000" w:themeColor="text1"/>
          <w:sz w:val="20"/>
          <w:szCs w:val="20"/>
        </w:rPr>
        <w:t xml:space="preserve">Szczelność połączenia pomiędzy elementami zapewnia uszczelka </w:t>
      </w:r>
      <w:r w:rsidR="007B0ECB">
        <w:rPr>
          <w:color w:val="000000" w:themeColor="text1"/>
          <w:sz w:val="20"/>
          <w:szCs w:val="20"/>
        </w:rPr>
        <w:t>EPDM</w:t>
      </w:r>
      <w:r w:rsidRPr="0075795A">
        <w:rPr>
          <w:color w:val="000000" w:themeColor="text1"/>
          <w:sz w:val="20"/>
          <w:szCs w:val="20"/>
        </w:rPr>
        <w:t xml:space="preserve">, którą umieszcza się </w:t>
      </w:r>
      <w:r>
        <w:rPr>
          <w:color w:val="000000" w:themeColor="text1"/>
          <w:sz w:val="20"/>
          <w:szCs w:val="20"/>
        </w:rPr>
        <w:br/>
      </w:r>
      <w:r w:rsidRPr="0075795A">
        <w:rPr>
          <w:color w:val="000000" w:themeColor="text1"/>
          <w:sz w:val="20"/>
          <w:szCs w:val="20"/>
        </w:rPr>
        <w:t>w wyprofilowanych bruzdach pomiędzy elementami. Właściwe dociśnięcie uszczelki oraz elementów żelbetowych jest zapewnione poprzez zastosowanie</w:t>
      </w:r>
      <w:r w:rsidRPr="0075795A">
        <w:rPr>
          <w:color w:val="538135" w:themeColor="accent6" w:themeShade="BF"/>
          <w:sz w:val="20"/>
          <w:szCs w:val="20"/>
        </w:rPr>
        <w:t xml:space="preserve"> </w:t>
      </w:r>
      <w:r w:rsidRPr="0075795A">
        <w:rPr>
          <w:color w:val="000000" w:themeColor="text1"/>
          <w:sz w:val="20"/>
          <w:szCs w:val="20"/>
        </w:rPr>
        <w:t xml:space="preserve">stalowych łączników skręcanych. </w:t>
      </w:r>
    </w:p>
    <w:p w14:paraId="0C9A57AD" w14:textId="69F3E429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Elementy transportowe</w:t>
      </w:r>
    </w:p>
    <w:p w14:paraId="221BDF5D" w14:textId="540075B9" w:rsidR="0075795A" w:rsidRPr="0075795A" w:rsidRDefault="0075795A" w:rsidP="0075795A">
      <w:pPr>
        <w:jc w:val="both"/>
        <w:rPr>
          <w:sz w:val="20"/>
          <w:szCs w:val="20"/>
        </w:rPr>
      </w:pPr>
      <w:r w:rsidRPr="0075795A">
        <w:rPr>
          <w:sz w:val="20"/>
          <w:szCs w:val="20"/>
        </w:rPr>
        <w:t xml:space="preserve">W elementach prefabrykowanych zaprojektowano kotwy/pętle do transportu.  </w:t>
      </w:r>
    </w:p>
    <w:p w14:paraId="603CFD96" w14:textId="08C03D9C" w:rsidR="0075795A" w:rsidRPr="004C4393" w:rsidRDefault="005C5927" w:rsidP="0075795A">
      <w:pPr>
        <w:pStyle w:val="Nagwek1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Montaż zbiornika</w:t>
      </w:r>
    </w:p>
    <w:p w14:paraId="1ED95E9A" w14:textId="5AC2585C" w:rsidR="0075795A" w:rsidRPr="0075795A" w:rsidRDefault="005C5927" w:rsidP="0075795A">
      <w:pPr>
        <w:jc w:val="both"/>
        <w:rPr>
          <w:sz w:val="20"/>
          <w:szCs w:val="20"/>
        </w:rPr>
      </w:pPr>
      <w:r>
        <w:rPr>
          <w:sz w:val="20"/>
          <w:szCs w:val="20"/>
        </w:rPr>
        <w:t>Zbiornik należy montować zgodnie z instrukcją Producenta.</w:t>
      </w:r>
    </w:p>
    <w:p w14:paraId="7D8825DA" w14:textId="77777777" w:rsidR="00F50349" w:rsidRPr="006C05DA" w:rsidRDefault="00F50349" w:rsidP="006C05DA"/>
    <w:sectPr w:rsidR="00F50349" w:rsidRPr="006C05DA" w:rsidSect="00315988">
      <w:headerReference w:type="default" r:id="rId7"/>
      <w:footerReference w:type="default" r:id="rId8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D8C9" w14:textId="77777777" w:rsidR="00CF7FEB" w:rsidRDefault="00CF7FEB" w:rsidP="00315988">
      <w:pPr>
        <w:spacing w:after="0" w:line="240" w:lineRule="auto"/>
      </w:pPr>
      <w:r>
        <w:separator/>
      </w:r>
    </w:p>
  </w:endnote>
  <w:endnote w:type="continuationSeparator" w:id="0">
    <w:p w14:paraId="43A33248" w14:textId="77777777" w:rsidR="00CF7FEB" w:rsidRDefault="00CF7FEB" w:rsidP="0031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A40" w14:textId="6348DAC0" w:rsidR="00D6642F" w:rsidRDefault="00EC2BE8" w:rsidP="00A945A4">
    <w:pPr>
      <w:pStyle w:val="Stopka"/>
      <w:tabs>
        <w:tab w:val="clear" w:pos="4536"/>
        <w:tab w:val="clear" w:pos="9072"/>
        <w:tab w:val="left" w:pos="15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613E26A" wp14:editId="50F7A273">
          <wp:simplePos x="0" y="0"/>
          <wp:positionH relativeFrom="margin">
            <wp:posOffset>-915035</wp:posOffset>
          </wp:positionH>
          <wp:positionV relativeFrom="paragraph">
            <wp:posOffset>-450215</wp:posOffset>
          </wp:positionV>
          <wp:extent cx="7558367" cy="1043940"/>
          <wp:effectExtent l="0" t="0" r="508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367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BAA95" w14:textId="77777777" w:rsidR="00CF7FEB" w:rsidRDefault="00CF7FEB" w:rsidP="00315988">
      <w:pPr>
        <w:spacing w:after="0" w:line="240" w:lineRule="auto"/>
      </w:pPr>
      <w:r>
        <w:separator/>
      </w:r>
    </w:p>
  </w:footnote>
  <w:footnote w:type="continuationSeparator" w:id="0">
    <w:p w14:paraId="56295AAA" w14:textId="77777777" w:rsidR="00CF7FEB" w:rsidRDefault="00CF7FEB" w:rsidP="0031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6A6" w14:textId="255DA28A" w:rsidR="00315988" w:rsidRDefault="003159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DB15A8" wp14:editId="7586C403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57871" cy="1272540"/>
          <wp:effectExtent l="0" t="0" r="11430" b="0"/>
          <wp:wrapNone/>
          <wp:docPr id="33" name="Obraz 33" descr="JPGNagłówek%20firmowy%20Sienkiewi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GNagłówek%20firmowy%20Sienkiewi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71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15CBB" w14:textId="77777777" w:rsidR="00315988" w:rsidRDefault="003159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FBF"/>
    <w:multiLevelType w:val="multilevel"/>
    <w:tmpl w:val="35069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C5104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66E3"/>
    <w:multiLevelType w:val="hybridMultilevel"/>
    <w:tmpl w:val="C2107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6BB"/>
    <w:multiLevelType w:val="hybridMultilevel"/>
    <w:tmpl w:val="B274B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7649"/>
    <w:multiLevelType w:val="hybridMultilevel"/>
    <w:tmpl w:val="623E4E12"/>
    <w:lvl w:ilvl="0" w:tplc="62688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40EBE"/>
    <w:multiLevelType w:val="multilevel"/>
    <w:tmpl w:val="A468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E6072A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E1C65"/>
    <w:multiLevelType w:val="hybridMultilevel"/>
    <w:tmpl w:val="E49012A4"/>
    <w:lvl w:ilvl="0" w:tplc="15B2AA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70326"/>
    <w:multiLevelType w:val="hybridMultilevel"/>
    <w:tmpl w:val="0840E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A356E"/>
    <w:multiLevelType w:val="multilevel"/>
    <w:tmpl w:val="E3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325DF6"/>
    <w:multiLevelType w:val="hybridMultilevel"/>
    <w:tmpl w:val="219A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3482A"/>
    <w:multiLevelType w:val="multilevel"/>
    <w:tmpl w:val="899CB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C550374"/>
    <w:multiLevelType w:val="hybridMultilevel"/>
    <w:tmpl w:val="3A3A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D3FAD"/>
    <w:multiLevelType w:val="hybridMultilevel"/>
    <w:tmpl w:val="3A58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C94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833C6"/>
    <w:multiLevelType w:val="hybridMultilevel"/>
    <w:tmpl w:val="EEBC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22DC8"/>
    <w:multiLevelType w:val="hybridMultilevel"/>
    <w:tmpl w:val="1D0CC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01B66"/>
    <w:multiLevelType w:val="multilevel"/>
    <w:tmpl w:val="A47E2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D83358"/>
    <w:multiLevelType w:val="hybridMultilevel"/>
    <w:tmpl w:val="E6C2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B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076864"/>
    <w:multiLevelType w:val="hybridMultilevel"/>
    <w:tmpl w:val="280CC5D8"/>
    <w:lvl w:ilvl="0" w:tplc="776CF1DC">
      <w:start w:val="6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E5BC8"/>
    <w:multiLevelType w:val="hybridMultilevel"/>
    <w:tmpl w:val="AD922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60186">
    <w:abstractNumId w:val="15"/>
  </w:num>
  <w:num w:numId="2" w16cid:durableId="1276671420">
    <w:abstractNumId w:val="13"/>
  </w:num>
  <w:num w:numId="3" w16cid:durableId="159082007">
    <w:abstractNumId w:val="14"/>
  </w:num>
  <w:num w:numId="4" w16cid:durableId="1306932833">
    <w:abstractNumId w:val="2"/>
  </w:num>
  <w:num w:numId="5" w16cid:durableId="1496918043">
    <w:abstractNumId w:val="17"/>
  </w:num>
  <w:num w:numId="6" w16cid:durableId="1512723737">
    <w:abstractNumId w:val="12"/>
  </w:num>
  <w:num w:numId="7" w16cid:durableId="1711999058">
    <w:abstractNumId w:val="8"/>
  </w:num>
  <w:num w:numId="8" w16cid:durableId="1515993943">
    <w:abstractNumId w:val="20"/>
  </w:num>
  <w:num w:numId="9" w16cid:durableId="1450006665">
    <w:abstractNumId w:val="18"/>
  </w:num>
  <w:num w:numId="10" w16cid:durableId="95250523">
    <w:abstractNumId w:val="19"/>
  </w:num>
  <w:num w:numId="11" w16cid:durableId="1510287896">
    <w:abstractNumId w:val="9"/>
  </w:num>
  <w:num w:numId="12" w16cid:durableId="1941258036">
    <w:abstractNumId w:val="16"/>
  </w:num>
  <w:num w:numId="13" w16cid:durableId="1410956166">
    <w:abstractNumId w:val="5"/>
  </w:num>
  <w:num w:numId="14" w16cid:durableId="1793936608">
    <w:abstractNumId w:val="11"/>
  </w:num>
  <w:num w:numId="15" w16cid:durableId="1970277752">
    <w:abstractNumId w:val="0"/>
  </w:num>
  <w:num w:numId="16" w16cid:durableId="412049413">
    <w:abstractNumId w:val="3"/>
  </w:num>
  <w:num w:numId="17" w16cid:durableId="673805776">
    <w:abstractNumId w:val="10"/>
  </w:num>
  <w:num w:numId="18" w16cid:durableId="21783886">
    <w:abstractNumId w:val="6"/>
  </w:num>
  <w:num w:numId="19" w16cid:durableId="1180579455">
    <w:abstractNumId w:val="1"/>
  </w:num>
  <w:num w:numId="20" w16cid:durableId="1592546362">
    <w:abstractNumId w:val="7"/>
  </w:num>
  <w:num w:numId="21" w16cid:durableId="1876306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8"/>
    <w:rsid w:val="000052E8"/>
    <w:rsid w:val="00010767"/>
    <w:rsid w:val="000443F8"/>
    <w:rsid w:val="00056C34"/>
    <w:rsid w:val="000E256F"/>
    <w:rsid w:val="00112174"/>
    <w:rsid w:val="00172B67"/>
    <w:rsid w:val="00186F20"/>
    <w:rsid w:val="001F5726"/>
    <w:rsid w:val="00202FCD"/>
    <w:rsid w:val="002A5253"/>
    <w:rsid w:val="00315988"/>
    <w:rsid w:val="003808AA"/>
    <w:rsid w:val="00390122"/>
    <w:rsid w:val="003A3375"/>
    <w:rsid w:val="00437D87"/>
    <w:rsid w:val="00453BCD"/>
    <w:rsid w:val="0047477F"/>
    <w:rsid w:val="004C4393"/>
    <w:rsid w:val="004F34F2"/>
    <w:rsid w:val="00523657"/>
    <w:rsid w:val="005471CA"/>
    <w:rsid w:val="005716FE"/>
    <w:rsid w:val="005C5927"/>
    <w:rsid w:val="005D27AA"/>
    <w:rsid w:val="005F0459"/>
    <w:rsid w:val="00643026"/>
    <w:rsid w:val="006C05DA"/>
    <w:rsid w:val="0075795A"/>
    <w:rsid w:val="007B0ECB"/>
    <w:rsid w:val="008050AE"/>
    <w:rsid w:val="00814F44"/>
    <w:rsid w:val="00847B19"/>
    <w:rsid w:val="008E0841"/>
    <w:rsid w:val="00934BE3"/>
    <w:rsid w:val="009957B7"/>
    <w:rsid w:val="00A03676"/>
    <w:rsid w:val="00A03E5A"/>
    <w:rsid w:val="00A73075"/>
    <w:rsid w:val="00A908D1"/>
    <w:rsid w:val="00A945A4"/>
    <w:rsid w:val="00A96F9B"/>
    <w:rsid w:val="00AE5FF1"/>
    <w:rsid w:val="00B66540"/>
    <w:rsid w:val="00BC178D"/>
    <w:rsid w:val="00BC7D80"/>
    <w:rsid w:val="00BE4347"/>
    <w:rsid w:val="00C921F5"/>
    <w:rsid w:val="00CF7FEB"/>
    <w:rsid w:val="00D6642F"/>
    <w:rsid w:val="00DE4ABE"/>
    <w:rsid w:val="00E4279F"/>
    <w:rsid w:val="00E74056"/>
    <w:rsid w:val="00EC2BE8"/>
    <w:rsid w:val="00F47DF1"/>
    <w:rsid w:val="00F50349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2EF0"/>
  <w15:chartTrackingRefBased/>
  <w15:docId w15:val="{9E0EA863-28A1-4E7A-A034-2C7C6BC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19"/>
    <w:pPr>
      <w:spacing w:after="200" w:line="276" w:lineRule="auto"/>
    </w:pPr>
    <w:rPr>
      <w:rFonts w:ascii="Arial" w:eastAsia="Calibri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8A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88"/>
  </w:style>
  <w:style w:type="paragraph" w:styleId="Stopka">
    <w:name w:val="footer"/>
    <w:basedOn w:val="Normalny"/>
    <w:link w:val="Stopka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88"/>
  </w:style>
  <w:style w:type="character" w:styleId="Hipercze">
    <w:name w:val="Hyperlink"/>
    <w:basedOn w:val="Domylnaczcionkaakapitu"/>
    <w:uiPriority w:val="99"/>
    <w:unhideWhenUsed/>
    <w:rsid w:val="00847B19"/>
    <w:rPr>
      <w:color w:val="0000FF"/>
      <w:u w:val="single"/>
    </w:rPr>
  </w:style>
  <w:style w:type="paragraph" w:styleId="Bezodstpw">
    <w:name w:val="No Spacing"/>
    <w:uiPriority w:val="1"/>
    <w:qFormat/>
    <w:rsid w:val="00847B1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7B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08A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3808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9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Angelika Sobieraj</cp:lastModifiedBy>
  <cp:revision>23</cp:revision>
  <dcterms:created xsi:type="dcterms:W3CDTF">2022-11-30T18:42:00Z</dcterms:created>
  <dcterms:modified xsi:type="dcterms:W3CDTF">2026-08-27T10:53:00Z</dcterms:modified>
</cp:coreProperties>
</file>